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C93" w:rsidRDefault="00EB0C93" w:rsidP="00EB0C93">
      <w:pPr>
        <w:ind w:hanging="710"/>
        <w:jc w:val="center"/>
        <w:rPr>
          <w:rFonts w:ascii="Times New Roman" w:eastAsia="Times New Roman" w:hAnsi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M</w:t>
      </w:r>
      <w:r>
        <w:rPr>
          <w:rFonts w:ascii="Times New Roman" w:eastAsia="Times New Roman" w:hAnsi="Times New Roman"/>
          <w:b/>
          <w:bCs/>
          <w:iCs/>
          <w:sz w:val="28"/>
          <w:szCs w:val="28"/>
        </w:rPr>
        <w:t>И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H</w:t>
      </w:r>
      <w:r>
        <w:rPr>
          <w:rFonts w:ascii="Times New Roman" w:eastAsia="Times New Roman" w:hAnsi="Times New Roman"/>
          <w:b/>
          <w:bCs/>
          <w:iCs/>
          <w:sz w:val="28"/>
          <w:szCs w:val="28"/>
        </w:rPr>
        <w:t>И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CTEPCTBO</w:t>
      </w:r>
      <w:r w:rsidRPr="00EB0C93">
        <w:rPr>
          <w:rFonts w:ascii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O</w:t>
      </w:r>
      <w:r>
        <w:rPr>
          <w:rFonts w:ascii="Times New Roman" w:eastAsia="Times New Roman" w:hAnsi="Times New Roman"/>
          <w:b/>
          <w:bCs/>
          <w:iCs/>
          <w:sz w:val="28"/>
          <w:szCs w:val="28"/>
        </w:rPr>
        <w:t>Б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PA</w:t>
      </w:r>
      <w:r>
        <w:rPr>
          <w:rFonts w:ascii="Times New Roman" w:eastAsia="Times New Roman" w:hAnsi="Times New Roman"/>
          <w:b/>
          <w:bCs/>
          <w:iCs/>
          <w:sz w:val="28"/>
          <w:szCs w:val="28"/>
        </w:rPr>
        <w:t>ЗО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BAH</w:t>
      </w:r>
      <w:r>
        <w:rPr>
          <w:rFonts w:ascii="Times New Roman" w:eastAsia="Times New Roman" w:hAnsi="Times New Roman"/>
          <w:b/>
          <w:bCs/>
          <w:iCs/>
          <w:sz w:val="28"/>
          <w:szCs w:val="28"/>
        </w:rPr>
        <w:t>ИЯ И НАУКИ РЕСПУБЛИКИ ДАГЕСТАН</w:t>
      </w:r>
    </w:p>
    <w:p w:rsidR="00EB0C93" w:rsidRDefault="00EB0C93" w:rsidP="00EB0C93">
      <w:pPr>
        <w:ind w:hanging="141"/>
        <w:jc w:val="center"/>
        <w:rPr>
          <w:rFonts w:ascii="Times New Roman" w:eastAsia="Times New Roman" w:hAnsi="Times New Roman"/>
          <w:b/>
          <w:bCs/>
          <w:iCs/>
        </w:rPr>
      </w:pPr>
      <w:r>
        <w:rPr>
          <w:rFonts w:ascii="Times New Roman" w:eastAsia="Times New Roman" w:hAnsi="Times New Roman"/>
          <w:b/>
          <w:bCs/>
          <w:iCs/>
        </w:rPr>
        <w:t>ГОСУДАРСТВЕННОЕ БЮДЖЕТНОЕ УЧРЕЖДЕНИЕ ДОПОЛНИТЕЛЬНОГО</w:t>
      </w:r>
    </w:p>
    <w:p w:rsidR="00EB0C93" w:rsidRDefault="00EB0C93" w:rsidP="00EB0C93">
      <w:pPr>
        <w:ind w:hanging="141"/>
        <w:jc w:val="center"/>
        <w:rPr>
          <w:rFonts w:ascii="Times New Roman" w:eastAsia="Times New Roman" w:hAnsi="Times New Roman"/>
          <w:b/>
          <w:bCs/>
          <w:iCs/>
          <w:sz w:val="22"/>
          <w:szCs w:val="22"/>
        </w:rPr>
      </w:pPr>
      <w:r>
        <w:rPr>
          <w:rFonts w:ascii="Times New Roman" w:eastAsia="Times New Roman" w:hAnsi="Times New Roman"/>
          <w:b/>
          <w:bCs/>
          <w:iCs/>
        </w:rPr>
        <w:t>ПРОФЕССИОНАЛЬНОГО ОБРАЗОВАНИЯ РЕСПУБЛИКИ ДАГЕСТАН</w:t>
      </w:r>
    </w:p>
    <w:p w:rsidR="00EB0C93" w:rsidRDefault="00EB0C93" w:rsidP="00EB0C93">
      <w:pPr>
        <w:ind w:hanging="141"/>
        <w:jc w:val="center"/>
        <w:rPr>
          <w:rFonts w:ascii="Times New Roman" w:eastAsia="Times New Roman" w:hAnsi="Times New Roman"/>
          <w:b/>
          <w:bCs/>
          <w:iCs/>
        </w:rPr>
      </w:pPr>
      <w:r>
        <w:rPr>
          <w:rFonts w:ascii="Times New Roman" w:eastAsia="Times New Roman" w:hAnsi="Times New Roman"/>
          <w:b/>
          <w:bCs/>
          <w:iCs/>
        </w:rPr>
        <w:t>«ДАГЕСТАНСКИЙ ИНСТИТУТ РАЗВИТИЯ ОБРАЗОВАНИЯ»</w:t>
      </w:r>
    </w:p>
    <w:p w:rsidR="00EB0C93" w:rsidRDefault="00EB0C93" w:rsidP="00EB0C93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0C93" w:rsidRDefault="00EB0C93" w:rsidP="00EB0C93">
      <w:pPr>
        <w:ind w:hanging="14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КОМАНДНАЯ ОЛИМПИАДА ПО ФУНКЦИОНАЛЬНОЙ ГРАМОТНОСТИ ДЛЯ ШКОЛЬНИКОВ</w:t>
      </w:r>
    </w:p>
    <w:p w:rsidR="00EB0C93" w:rsidRDefault="00EB0C93" w:rsidP="00EB0C93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0C93" w:rsidRDefault="00EB0C93" w:rsidP="00EB0C93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Направление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Естественнонаучные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компетенции</w:t>
      </w:r>
    </w:p>
    <w:p w:rsidR="00FB2580" w:rsidRDefault="00FB2580" w:rsidP="00EB0C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0C93" w:rsidRDefault="00EB0C93" w:rsidP="00EB0C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Муниципальный этап</w:t>
      </w:r>
    </w:p>
    <w:p w:rsidR="00EB0C93" w:rsidRDefault="00EB0C93" w:rsidP="00EB0C93">
      <w:pPr>
        <w:spacing w:before="30" w:after="6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0C93" w:rsidRDefault="00EB0C93" w:rsidP="00EB0C93">
      <w:pPr>
        <w:spacing w:before="30" w:after="6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 №1.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355"/>
      </w:tblGrid>
      <w:tr w:rsidR="00EB0C93" w:rsidTr="00EB0C93">
        <w:trPr>
          <w:tblCellSpacing w:w="15" w:type="dxa"/>
        </w:trPr>
        <w:tc>
          <w:tcPr>
            <w:tcW w:w="496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0C93" w:rsidRDefault="00EB0C93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Ламинария</w:t>
            </w:r>
          </w:p>
          <w:tbl>
            <w:tblPr>
              <w:tblW w:w="938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19"/>
              <w:gridCol w:w="6144"/>
              <w:gridCol w:w="2"/>
            </w:tblGrid>
            <w:tr w:rsidR="00EB0C93">
              <w:trPr>
                <w:tblCellSpacing w:w="0" w:type="dxa"/>
              </w:trPr>
              <w:tc>
                <w:tcPr>
                  <w:tcW w:w="9360" w:type="dxa"/>
                  <w:gridSpan w:val="2"/>
                </w:tcPr>
                <w:p w:rsidR="00EB0C93" w:rsidRDefault="00EB0C93">
                  <w:pPr>
                    <w:spacing w:line="330" w:lineRule="atLeast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Ламинария (лат. 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</w:rPr>
                    <w:t>Laminaria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</w:rPr>
                    <w:t>), или «морская капуста» </w:t>
                  </w:r>
                  <w:r>
                    <w:rPr>
                      <w:rFonts w:ascii="MathJax_Main" w:eastAsia="Times New Roman" w:hAnsi="MathJax_Main" w:cs="Times New Roman"/>
                      <w:sz w:val="26"/>
                      <w:szCs w:val="26"/>
                      <w:bdr w:val="none" w:sz="0" w:space="0" w:color="auto" w:frame="1"/>
                    </w:rPr>
                    <w:t>–</w:t>
                  </w:r>
                  <w:r>
                    <w:rPr>
                      <w:rFonts w:ascii="Times New Roman" w:eastAsia="Times New Roman" w:hAnsi="Times New Roman" w:cs="Times New Roman"/>
                    </w:rPr>
                    <w:t> род морских бурых водорослей, многие виды которого употребляются в пищу, используются в косметологии и фармакологии.</w:t>
                  </w:r>
                </w:p>
                <w:p w:rsidR="00EB0C93" w:rsidRDefault="00EB0C93">
                  <w:pPr>
                    <w:spacing w:before="30" w:after="60" w:line="330" w:lineRule="atLeast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Тело водоросли достигает длину 20 метров, представляет собой слоевище в виде цельной или рассечённой пластинки. Роль корней выполняет специальная присоска, которой водоросль прикрепляется к грунту.</w:t>
                  </w:r>
                </w:p>
                <w:p w:rsidR="00EB0C93" w:rsidRDefault="00EB0C93">
                  <w:pPr>
                    <w:spacing w:before="30" w:after="60" w:line="330" w:lineRule="atLeast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Одним из важных компонентов ламинарии является альгин, состоящий из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альгината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</w:rPr>
                    <w:t xml:space="preserve"> натрия и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альгициновой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</w:rPr>
                    <w:t xml:space="preserve"> кислоты.</w:t>
                  </w:r>
                </w:p>
                <w:p w:rsidR="00EB0C93" w:rsidRDefault="00EB0C93">
                  <w:pPr>
                    <w:spacing w:before="30" w:after="60" w:line="330" w:lineRule="atLeast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EB0C93" w:rsidRDefault="00EB0C93">
                  <w:pPr>
                    <w:spacing w:before="30" w:after="60" w:line="330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lang w:bidi="ar-SA"/>
                    </w:rPr>
                    <w:drawing>
                      <wp:inline distT="0" distB="0" distL="0" distR="0">
                        <wp:extent cx="942975" cy="1295400"/>
                        <wp:effectExtent l="0" t="0" r="9525" b="0"/>
                        <wp:docPr id="5" name="Рисунок 5" descr="http://oge.fipi.ru/os/docs/0CD62708049A9FB940BFBB6E0A09ECC8/docs/26F900EA04DAB3124B202FEF906F520C/xs3docsrc26F900EA04DAB3124B202FEF906F520C_2_161190443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6" descr="http://oge.fipi.ru/os/docs/0CD62708049A9FB940BFBB6E0A09ECC8/docs/26F900EA04DAB3124B202FEF906F520C/xs3docsrc26F900EA04DAB3124B202FEF906F520C_2_161190443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295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 w:cs="Times New Roman"/>
                      <w:noProof/>
                    </w:rPr>
                    <w:t xml:space="preserve">             </w:t>
                  </w:r>
                  <w:r>
                    <w:rPr>
                      <w:noProof/>
                      <w:lang w:bidi="ar-SA"/>
                    </w:rPr>
                    <w:drawing>
                      <wp:inline distT="0" distB="0" distL="0" distR="0">
                        <wp:extent cx="542925" cy="800100"/>
                        <wp:effectExtent l="0" t="0" r="9525" b="0"/>
                        <wp:docPr id="4" name="Рисунок 4" descr="http://oge.fipi.ru/os/docs/0CD62708049A9FB940BFBB6E0A09ECC8/docs/26F900EA04DAB3124B202FEF906F520C/xs3docsrc26F900EA04DAB3124B202FEF906F520C_4_161190443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5" descr="http://oge.fipi.ru/os/docs/0CD62708049A9FB940BFBB6E0A09ECC8/docs/26F900EA04DAB3124B202FEF906F520C/xs3docsrc26F900EA04DAB3124B202FEF906F520C_4_161190443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2925" cy="800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B0C93" w:rsidRDefault="00EB0C93">
                  <w:pPr>
                    <w:spacing w:before="30" w:after="60" w:line="330" w:lineRule="atLeast"/>
                    <w:jc w:val="both"/>
                    <w:rPr>
                      <w:rFonts w:asciiTheme="minorHAnsi" w:eastAsiaTheme="minorHAnsi" w:hAnsiTheme="minorHAnsi" w:cstheme="minorBidi"/>
                      <w:noProof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Альгинат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</w:rPr>
                    <w:t xml:space="preserve"> натрия используется в пищевой промышленности под кодом Е401 европейской системы. Эту пищевую добавку используют в качестве загустителя для повышения вязкости веществ. Для извлечения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альгината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</w:rPr>
                    <w:t xml:space="preserve"> из водорослей применяют вымачивание в щелочном растворе. В дальнейшем щёлочь полностью вымывается, поэтому Е401 можно отнести к категории полностью натуральных добавок. Пищевая добавка Е401 разрешена для производства детского диетического питания.</w:t>
                  </w:r>
                  <w:r>
                    <w:rPr>
                      <w:noProof/>
                    </w:rPr>
                    <w:t xml:space="preserve"> </w:t>
                  </w:r>
                </w:p>
                <w:p w:rsidR="00EB0C93" w:rsidRDefault="00EB0C93">
                  <w:pPr>
                    <w:spacing w:before="30" w:after="60" w:line="330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noProof/>
                      <w:lang w:bidi="ar-SA"/>
                    </w:rPr>
                    <w:lastRenderedPageBreak/>
                    <w:drawing>
                      <wp:inline distT="0" distB="0" distL="0" distR="0">
                        <wp:extent cx="1511935" cy="1752029"/>
                        <wp:effectExtent l="0" t="0" r="0" b="635"/>
                        <wp:docPr id="3" name="Рисунок 3" descr="undefin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4" descr="undefin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7244" cy="176976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0" w:type="dxa"/>
                  <w:hideMark/>
                </w:tcPr>
                <w:p w:rsidR="00EB0C93" w:rsidRDefault="00EB0C9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B0C93">
              <w:trPr>
                <w:tblCellSpacing w:w="0" w:type="dxa"/>
              </w:trPr>
              <w:tc>
                <w:tcPr>
                  <w:tcW w:w="2932" w:type="dxa"/>
                  <w:vAlign w:val="center"/>
                  <w:hideMark/>
                </w:tcPr>
                <w:p w:rsidR="00EB0C93" w:rsidRDefault="00EB0C9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428" w:type="dxa"/>
                  <w:vAlign w:val="center"/>
                  <w:hideMark/>
                </w:tcPr>
                <w:p w:rsidR="00EB0C93" w:rsidRDefault="00EB0C9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EB0C93" w:rsidRDefault="00EB0C9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B0C93">
              <w:trPr>
                <w:gridAfter w:val="1"/>
                <w:wAfter w:w="469" w:type="dxa"/>
                <w:tblCellSpacing w:w="0" w:type="dxa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B0C93" w:rsidRDefault="00EB0C93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Есть ли в составе мясного изделия «Колбаски копчёные»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альгинат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</w:rPr>
                    <w:t xml:space="preserve"> натрия? Ответ поясните.</w:t>
                  </w: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33"/>
                  </w:tblGrid>
                  <w:tr w:rsidR="00EB0C93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EB0C93" w:rsidRDefault="00EB0C93" w:rsidP="0093134C">
                        <w:pPr>
                          <w:spacing w:line="360" w:lineRule="auto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> </w:t>
                        </w:r>
                        <w:r>
                          <w:rPr>
                            <w:rFonts w:ascii="Arial" w:eastAsia="Times New Roman" w:hAnsi="Arial" w:cs="Arial"/>
                            <w:u w:val="single"/>
                          </w:rPr>
                          <w:t>Ответ:_</w:t>
                        </w:r>
                        <w:r>
                          <w:rPr>
                            <w:rFonts w:ascii="Arial" w:eastAsia="Times New Roman" w:hAnsi="Arial" w:cs="Arial"/>
                            <w:sz w:val="28"/>
                            <w:szCs w:val="28"/>
                            <w:u w:val="single"/>
                          </w:rPr>
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</w:r>
                      </w:p>
                    </w:tc>
                  </w:tr>
                </w:tbl>
                <w:p w:rsidR="00EB0C93" w:rsidRDefault="00EB0C93">
                  <w:p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EB0C93" w:rsidRDefault="00EB0C93"/>
        </w:tc>
      </w:tr>
      <w:tr w:rsidR="00EB0C93" w:rsidTr="00EB0C93">
        <w:trPr>
          <w:tblCellSpacing w:w="15" w:type="dxa"/>
        </w:trPr>
        <w:tc>
          <w:tcPr>
            <w:tcW w:w="496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0C93" w:rsidRDefault="00EB0C93">
            <w:pPr>
              <w:spacing w:before="30" w:after="6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Задание №2.</w:t>
            </w:r>
          </w:p>
          <w:p w:rsidR="00EB0C93" w:rsidRDefault="00EB0C93">
            <w:pPr>
              <w:spacing w:before="30" w:after="60" w:line="33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Светлана старается придерживаться правильного питания и часто употребляет в пищу консервированную морскую капусту. Однако она избегает продуктов, в составе которых присутствуют пищевые Е-добавки, включая добавку Е401. Почему Светлане не следует опасаться добавки Е401, учитывая её нынешний рацион?</w:t>
            </w:r>
          </w:p>
        </w:tc>
      </w:tr>
    </w:tbl>
    <w:p w:rsidR="00EB0C93" w:rsidRDefault="00EB0C93" w:rsidP="00EB0C93">
      <w:pPr>
        <w:rPr>
          <w:rFonts w:ascii="Arial" w:eastAsia="Times New Roman" w:hAnsi="Arial" w:cs="Arial"/>
          <w:vanish/>
          <w:sz w:val="16"/>
          <w:szCs w:val="16"/>
        </w:rPr>
      </w:pPr>
    </w:p>
    <w:p w:rsidR="00EB0C93" w:rsidRDefault="00EB0C93" w:rsidP="00EB0C93">
      <w:pPr>
        <w:spacing w:line="360" w:lineRule="auto"/>
        <w:rPr>
          <w:rFonts w:ascii="Times New Roman" w:eastAsia="Times New Roman" w:hAnsi="Times New Roman" w:cs="Times New Roman"/>
        </w:rPr>
      </w:pPr>
      <w:proofErr w:type="gramStart"/>
      <w:r>
        <w:rPr>
          <w:rFonts w:ascii="Arial" w:eastAsia="Times New Roman" w:hAnsi="Arial" w:cs="Arial"/>
          <w:u w:val="single"/>
        </w:rPr>
        <w:t>Ответ:_</w:t>
      </w:r>
      <w:proofErr w:type="gramEnd"/>
      <w:r>
        <w:rPr>
          <w:rFonts w:ascii="Arial" w:eastAsia="Times New Roman" w:hAnsi="Arial" w:cs="Arial"/>
          <w:sz w:val="28"/>
          <w:szCs w:val="2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u w:val="single"/>
        </w:rPr>
        <w:t>_</w:t>
      </w:r>
      <w:r>
        <w:rPr>
          <w:rFonts w:ascii="Arial" w:eastAsia="Times New Roman" w:hAnsi="Arial" w:cs="Arial"/>
          <w:sz w:val="28"/>
          <w:szCs w:val="28"/>
          <w:u w:val="single"/>
        </w:rPr>
        <w:t>________________________________________________________________________________________________________________________________________________________________</w:t>
      </w:r>
    </w:p>
    <w:p w:rsidR="00EB0C93" w:rsidRDefault="00EB0C93" w:rsidP="00EB0C93">
      <w:pPr>
        <w:rPr>
          <w:rFonts w:ascii="Times New Roman" w:eastAsia="Times New Roman" w:hAnsi="Times New Roman" w:cs="Times New Roman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355"/>
      </w:tblGrid>
      <w:tr w:rsidR="00EB0C93" w:rsidTr="00EB0C93">
        <w:trPr>
          <w:tblCellSpacing w:w="15" w:type="dxa"/>
        </w:trPr>
        <w:tc>
          <w:tcPr>
            <w:tcW w:w="496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0C93" w:rsidRDefault="00EB0C93">
            <w:pPr>
              <w:spacing w:before="30" w:after="60" w:line="3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Задание №3.</w:t>
            </w:r>
          </w:p>
          <w:p w:rsidR="00EB0C93" w:rsidRDefault="00EB0C93">
            <w:pPr>
              <w:spacing w:before="30" w:after="60" w:line="33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Для производства каких продуктов может быть использован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альгинат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натрия? Отметьте «да» или «нет» для каждого продукта в таблице.</w:t>
            </w:r>
          </w:p>
          <w:p w:rsidR="00EB0C93" w:rsidRDefault="00EB0C93">
            <w:pPr>
              <w:spacing w:before="30" w:after="60" w:line="33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  <w:tbl>
            <w:tblPr>
              <w:tblW w:w="0" w:type="auto"/>
              <w:tblCellSpacing w:w="0" w:type="dxa"/>
              <w:tblInd w:w="125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20"/>
              <w:gridCol w:w="1470"/>
              <w:gridCol w:w="1470"/>
            </w:tblGrid>
            <w:tr w:rsidR="00EB0C93">
              <w:trPr>
                <w:tblCellSpacing w:w="0" w:type="dxa"/>
              </w:trPr>
              <w:tc>
                <w:tcPr>
                  <w:tcW w:w="31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Продукт</w:t>
                  </w:r>
                </w:p>
              </w:tc>
              <w:tc>
                <w:tcPr>
                  <w:tcW w:w="1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Да</w:t>
                  </w:r>
                </w:p>
              </w:tc>
              <w:tc>
                <w:tcPr>
                  <w:tcW w:w="1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Нет</w:t>
                  </w:r>
                </w:p>
              </w:tc>
            </w:tr>
            <w:tr w:rsidR="00EB0C93">
              <w:trPr>
                <w:tblCellSpacing w:w="0" w:type="dxa"/>
              </w:trPr>
              <w:tc>
                <w:tcPr>
                  <w:tcW w:w="31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Абрикосовый джем</w:t>
                  </w:r>
                </w:p>
              </w:tc>
              <w:tc>
                <w:tcPr>
                  <w:tcW w:w="1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B0C93">
              <w:trPr>
                <w:tblCellSpacing w:w="0" w:type="dxa"/>
              </w:trPr>
              <w:tc>
                <w:tcPr>
                  <w:tcW w:w="31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lastRenderedPageBreak/>
                    <w:t>Майонез</w:t>
                  </w:r>
                </w:p>
              </w:tc>
              <w:tc>
                <w:tcPr>
                  <w:tcW w:w="1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B0C93">
              <w:trPr>
                <w:tblCellSpacing w:w="0" w:type="dxa"/>
              </w:trPr>
              <w:tc>
                <w:tcPr>
                  <w:tcW w:w="31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Гречневая крупа</w:t>
                  </w:r>
                </w:p>
              </w:tc>
              <w:tc>
                <w:tcPr>
                  <w:tcW w:w="1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B0C93">
              <w:trPr>
                <w:tblCellSpacing w:w="0" w:type="dxa"/>
              </w:trPr>
              <w:tc>
                <w:tcPr>
                  <w:tcW w:w="31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Квас</w:t>
                  </w:r>
                </w:p>
              </w:tc>
              <w:tc>
                <w:tcPr>
                  <w:tcW w:w="1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B0C93">
              <w:trPr>
                <w:tblCellSpacing w:w="0" w:type="dxa"/>
              </w:trPr>
              <w:tc>
                <w:tcPr>
                  <w:tcW w:w="31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Пастила</w:t>
                  </w:r>
                </w:p>
              </w:tc>
              <w:tc>
                <w:tcPr>
                  <w:tcW w:w="1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EB0C93" w:rsidRDefault="00EB0C93">
            <w:pPr>
              <w:spacing w:before="30" w:after="60" w:line="33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93134C" w:rsidRDefault="0093134C" w:rsidP="00EB0C93">
      <w:pPr>
        <w:spacing w:before="30" w:after="6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0C93" w:rsidRDefault="00EB0C93" w:rsidP="00EB0C93">
      <w:pPr>
        <w:spacing w:before="30" w:after="6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 №4.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355"/>
      </w:tblGrid>
      <w:tr w:rsidR="00EB0C93" w:rsidTr="00EB0C93">
        <w:trPr>
          <w:tblCellSpacing w:w="15" w:type="dxa"/>
        </w:trPr>
        <w:tc>
          <w:tcPr>
            <w:tcW w:w="496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0C93" w:rsidRDefault="00EB0C93">
            <w:pPr>
              <w:spacing w:before="30" w:after="60" w:line="33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Ламинария сахаристая</w:t>
            </w:r>
          </w:p>
          <w:p w:rsidR="00EB0C93" w:rsidRDefault="00EB0C93">
            <w:pPr>
              <w:spacing w:before="30" w:after="60" w:line="33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приведённой ниже таблице указано содержание химических элементов в морской капусте (Ламинария сахаристая) и цветной капусте.</w:t>
            </w:r>
          </w:p>
          <w:tbl>
            <w:tblPr>
              <w:tblW w:w="9718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61"/>
              <w:gridCol w:w="2861"/>
              <w:gridCol w:w="2761"/>
              <w:gridCol w:w="1966"/>
            </w:tblGrid>
            <w:tr w:rsidR="00EB0C9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B0C93" w:rsidRDefault="00EB0C93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 Элемент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Содержание в морской капусте, мг на 100 г сырого веса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Содержание в цветной капусте, мг на 100 г сырого веса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Суточная норма для человека, мг</w:t>
                  </w:r>
                </w:p>
              </w:tc>
            </w:tr>
            <w:tr w:rsidR="00EB0C93">
              <w:trPr>
                <w:trHeight w:val="74"/>
                <w:tblCellSpacing w:w="0" w:type="dxa"/>
              </w:trPr>
              <w:tc>
                <w:tcPr>
                  <w:tcW w:w="15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Калий</w:t>
                  </w:r>
                </w:p>
              </w:tc>
              <w:tc>
                <w:tcPr>
                  <w:tcW w:w="31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89</w:t>
                  </w:r>
                </w:p>
              </w:tc>
              <w:tc>
                <w:tcPr>
                  <w:tcW w:w="29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299</w:t>
                  </w:r>
                </w:p>
              </w:tc>
              <w:tc>
                <w:tcPr>
                  <w:tcW w:w="20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4000</w:t>
                  </w:r>
                </w:p>
              </w:tc>
            </w:tr>
            <w:tr w:rsidR="00EB0C93">
              <w:trPr>
                <w:tblCellSpacing w:w="0" w:type="dxa"/>
              </w:trPr>
              <w:tc>
                <w:tcPr>
                  <w:tcW w:w="15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Натрий</w:t>
                  </w:r>
                </w:p>
              </w:tc>
              <w:tc>
                <w:tcPr>
                  <w:tcW w:w="31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233</w:t>
                  </w:r>
                </w:p>
              </w:tc>
              <w:tc>
                <w:tcPr>
                  <w:tcW w:w="29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30</w:t>
                  </w:r>
                </w:p>
              </w:tc>
              <w:tc>
                <w:tcPr>
                  <w:tcW w:w="20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1300</w:t>
                  </w:r>
                </w:p>
              </w:tc>
            </w:tr>
            <w:tr w:rsidR="00EB0C93">
              <w:trPr>
                <w:tblCellSpacing w:w="0" w:type="dxa"/>
              </w:trPr>
              <w:tc>
                <w:tcPr>
                  <w:tcW w:w="15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Кальций</w:t>
                  </w:r>
                </w:p>
              </w:tc>
              <w:tc>
                <w:tcPr>
                  <w:tcW w:w="31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168</w:t>
                  </w:r>
                </w:p>
              </w:tc>
              <w:tc>
                <w:tcPr>
                  <w:tcW w:w="29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22</w:t>
                  </w:r>
                </w:p>
              </w:tc>
              <w:tc>
                <w:tcPr>
                  <w:tcW w:w="20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1200</w:t>
                  </w:r>
                </w:p>
              </w:tc>
            </w:tr>
            <w:tr w:rsidR="00EB0C93">
              <w:trPr>
                <w:tblCellSpacing w:w="0" w:type="dxa"/>
              </w:trPr>
              <w:tc>
                <w:tcPr>
                  <w:tcW w:w="15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Фосфор</w:t>
                  </w:r>
                </w:p>
              </w:tc>
              <w:tc>
                <w:tcPr>
                  <w:tcW w:w="31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43</w:t>
                  </w:r>
                </w:p>
              </w:tc>
              <w:tc>
                <w:tcPr>
                  <w:tcW w:w="29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43</w:t>
                  </w:r>
                </w:p>
              </w:tc>
              <w:tc>
                <w:tcPr>
                  <w:tcW w:w="20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800</w:t>
                  </w:r>
                </w:p>
              </w:tc>
            </w:tr>
            <w:tr w:rsidR="00EB0C93">
              <w:trPr>
                <w:tblCellSpacing w:w="0" w:type="dxa"/>
              </w:trPr>
              <w:tc>
                <w:tcPr>
                  <w:tcW w:w="15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Магний</w:t>
                  </w:r>
                </w:p>
              </w:tc>
              <w:tc>
                <w:tcPr>
                  <w:tcW w:w="31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120</w:t>
                  </w:r>
                </w:p>
              </w:tc>
              <w:tc>
                <w:tcPr>
                  <w:tcW w:w="29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15</w:t>
                  </w:r>
                </w:p>
              </w:tc>
              <w:tc>
                <w:tcPr>
                  <w:tcW w:w="20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400</w:t>
                  </w:r>
                </w:p>
              </w:tc>
            </w:tr>
            <w:tr w:rsidR="00EB0C93">
              <w:trPr>
                <w:tblCellSpacing w:w="0" w:type="dxa"/>
              </w:trPr>
              <w:tc>
                <w:tcPr>
                  <w:tcW w:w="15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Железо</w:t>
                  </w:r>
                </w:p>
              </w:tc>
              <w:tc>
                <w:tcPr>
                  <w:tcW w:w="31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2,9</w:t>
                  </w:r>
                </w:p>
              </w:tc>
              <w:tc>
                <w:tcPr>
                  <w:tcW w:w="29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0,4</w:t>
                  </w:r>
                </w:p>
              </w:tc>
              <w:tc>
                <w:tcPr>
                  <w:tcW w:w="20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18</w:t>
                  </w:r>
                </w:p>
              </w:tc>
            </w:tr>
            <w:tr w:rsidR="00EB0C93">
              <w:trPr>
                <w:tblCellSpacing w:w="0" w:type="dxa"/>
              </w:trPr>
              <w:tc>
                <w:tcPr>
                  <w:tcW w:w="15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Цинк</w:t>
                  </w:r>
                </w:p>
              </w:tc>
              <w:tc>
                <w:tcPr>
                  <w:tcW w:w="31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1,2</w:t>
                  </w:r>
                </w:p>
              </w:tc>
              <w:tc>
                <w:tcPr>
                  <w:tcW w:w="29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0,3</w:t>
                  </w:r>
                </w:p>
              </w:tc>
              <w:tc>
                <w:tcPr>
                  <w:tcW w:w="20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12</w:t>
                  </w:r>
                </w:p>
              </w:tc>
            </w:tr>
            <w:tr w:rsidR="00EB0C93">
              <w:trPr>
                <w:tblCellSpacing w:w="0" w:type="dxa"/>
              </w:trPr>
              <w:tc>
                <w:tcPr>
                  <w:tcW w:w="15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Марганец</w:t>
                  </w:r>
                </w:p>
              </w:tc>
              <w:tc>
                <w:tcPr>
                  <w:tcW w:w="31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0,2</w:t>
                  </w:r>
                </w:p>
              </w:tc>
              <w:tc>
                <w:tcPr>
                  <w:tcW w:w="29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0,2</w:t>
                  </w:r>
                </w:p>
              </w:tc>
              <w:tc>
                <w:tcPr>
                  <w:tcW w:w="20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</w:t>
                  </w:r>
                </w:p>
              </w:tc>
            </w:tr>
            <w:tr w:rsidR="00EB0C93">
              <w:trPr>
                <w:tblCellSpacing w:w="0" w:type="dxa"/>
              </w:trPr>
              <w:tc>
                <w:tcPr>
                  <w:tcW w:w="15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Йод</w:t>
                  </w:r>
                </w:p>
              </w:tc>
              <w:tc>
                <w:tcPr>
                  <w:tcW w:w="31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0,25</w:t>
                  </w:r>
                </w:p>
              </w:tc>
              <w:tc>
                <w:tcPr>
                  <w:tcW w:w="29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0,01</w:t>
                  </w:r>
                </w:p>
              </w:tc>
              <w:tc>
                <w:tcPr>
                  <w:tcW w:w="20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0,15</w:t>
                  </w:r>
                </w:p>
              </w:tc>
            </w:tr>
            <w:tr w:rsidR="00EB0C93">
              <w:trPr>
                <w:tblCellSpacing w:w="0" w:type="dxa"/>
              </w:trPr>
              <w:tc>
                <w:tcPr>
                  <w:tcW w:w="15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Селен</w:t>
                  </w:r>
                </w:p>
              </w:tc>
              <w:tc>
                <w:tcPr>
                  <w:tcW w:w="31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0,0007</w:t>
                  </w:r>
                </w:p>
              </w:tc>
              <w:tc>
                <w:tcPr>
                  <w:tcW w:w="29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0,0006</w:t>
                  </w:r>
                </w:p>
              </w:tc>
              <w:tc>
                <w:tcPr>
                  <w:tcW w:w="20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0,05</w:t>
                  </w:r>
                </w:p>
              </w:tc>
            </w:tr>
            <w:tr w:rsidR="00EB0C93">
              <w:trPr>
                <w:tblCellSpacing w:w="0" w:type="dxa"/>
              </w:trPr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B0C93" w:rsidRDefault="00EB0C93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Содержание какого элемента в 100 г морской капусты полностью покрывает суточную потребность в нём для человека?</w:t>
                  </w:r>
                </w:p>
                <w:p w:rsidR="00EB0C93" w:rsidRDefault="00EB0C93" w:rsidP="0093134C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Arial" w:eastAsia="Times New Roman" w:hAnsi="Arial" w:cs="Arial"/>
                      <w:u w:val="single"/>
                    </w:rPr>
                    <w:t>Ответ:_</w:t>
                  </w:r>
                  <w:r>
                    <w:rPr>
                      <w:rFonts w:ascii="Arial" w:eastAsia="Times New Roman" w:hAnsi="Arial" w:cs="Arial"/>
                      <w:sz w:val="28"/>
                      <w:szCs w:val="28"/>
                      <w:u w:val="single"/>
                    </w:rPr>
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</w:tc>
            </w:tr>
          </w:tbl>
          <w:p w:rsidR="00EB0C93" w:rsidRDefault="00EB0C9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EB0C93" w:rsidRDefault="00EB0C93" w:rsidP="00EB0C93">
      <w:pPr>
        <w:spacing w:before="30" w:after="6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 №5.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355"/>
      </w:tblGrid>
      <w:tr w:rsidR="00EB0C93" w:rsidTr="00EB0C93">
        <w:trPr>
          <w:tblCellSpacing w:w="15" w:type="dxa"/>
        </w:trPr>
        <w:tc>
          <w:tcPr>
            <w:tcW w:w="496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0C93" w:rsidRDefault="00EB0C93">
            <w:pPr>
              <w:spacing w:line="33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Допустимо ли единовременное употребление такого количества морской капусты, которое полностью покрывает суточную потребность человека в магнии, если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максимальная безопасная для его здоровья доза потребления йода </w:t>
            </w:r>
            <w:r>
              <w:rPr>
                <w:rFonts w:ascii="MathJax_Main" w:eastAsia="Times New Roman" w:hAnsi="MathJax_Main" w:cs="Times New Roman"/>
                <w:sz w:val="26"/>
                <w:szCs w:val="26"/>
                <w:bdr w:val="none" w:sz="0" w:space="0" w:color="auto" w:frame="1"/>
              </w:rPr>
              <w:t>–</w:t>
            </w:r>
            <w:r>
              <w:rPr>
                <w:rFonts w:ascii="Times New Roman" w:eastAsia="Times New Roman" w:hAnsi="Times New Roman" w:cs="Times New Roman"/>
              </w:rPr>
              <w:t> 0,5 мг? Ответ поясните.</w:t>
            </w:r>
          </w:p>
        </w:tc>
      </w:tr>
    </w:tbl>
    <w:p w:rsidR="00EB0C93" w:rsidRDefault="00EB0C93" w:rsidP="00EB0C93">
      <w:pPr>
        <w:spacing w:line="360" w:lineRule="auto"/>
        <w:rPr>
          <w:rFonts w:ascii="Times New Roman" w:eastAsia="Times New Roman" w:hAnsi="Times New Roman" w:cs="Times New Roman"/>
        </w:rPr>
      </w:pPr>
      <w:proofErr w:type="gramStart"/>
      <w:r>
        <w:rPr>
          <w:rFonts w:ascii="Arial" w:eastAsia="Times New Roman" w:hAnsi="Arial" w:cs="Arial"/>
          <w:u w:val="single"/>
        </w:rPr>
        <w:lastRenderedPageBreak/>
        <w:t>Ответ:_</w:t>
      </w:r>
      <w:proofErr w:type="gramEnd"/>
      <w:r>
        <w:rPr>
          <w:rFonts w:ascii="Arial" w:eastAsia="Times New Roman" w:hAnsi="Arial" w:cs="Arial"/>
          <w:sz w:val="28"/>
          <w:szCs w:val="2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0C93" w:rsidRDefault="00EB0C93" w:rsidP="00EB0C93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355"/>
      </w:tblGrid>
      <w:tr w:rsidR="00EB0C93" w:rsidTr="00EB0C93">
        <w:trPr>
          <w:tblCellSpacing w:w="15" w:type="dxa"/>
        </w:trPr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0C93" w:rsidRDefault="00EB0C93">
            <w:pPr>
              <w:spacing w:before="30" w:after="60" w:line="3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Задание №6.</w:t>
            </w:r>
          </w:p>
          <w:p w:rsidR="00EB0C93" w:rsidRDefault="00EB0C93">
            <w:pPr>
              <w:spacing w:before="30" w:after="60" w:line="33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Нехватку какого элемента лучше восполнять за счёт употребления цветной капусты, а не морской?</w:t>
            </w:r>
          </w:p>
        </w:tc>
      </w:tr>
    </w:tbl>
    <w:p w:rsidR="00EB0C93" w:rsidRDefault="00EB0C93" w:rsidP="00EB0C93">
      <w:pPr>
        <w:spacing w:line="360" w:lineRule="auto"/>
        <w:rPr>
          <w:rFonts w:ascii="Times New Roman" w:eastAsia="Times New Roman" w:hAnsi="Times New Roman" w:cs="Times New Roman"/>
        </w:rPr>
      </w:pPr>
      <w:proofErr w:type="gramStart"/>
      <w:r>
        <w:rPr>
          <w:rFonts w:ascii="Arial" w:eastAsia="Times New Roman" w:hAnsi="Arial" w:cs="Arial"/>
          <w:u w:val="single"/>
        </w:rPr>
        <w:t>Ответ:_</w:t>
      </w:r>
      <w:proofErr w:type="gramEnd"/>
      <w:r>
        <w:rPr>
          <w:rFonts w:ascii="Arial" w:eastAsia="Times New Roman" w:hAnsi="Arial" w:cs="Arial"/>
          <w:sz w:val="28"/>
          <w:szCs w:val="2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0C93" w:rsidRDefault="00EB0C93" w:rsidP="00EB0C93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355"/>
      </w:tblGrid>
      <w:tr w:rsidR="00EB0C93" w:rsidTr="00EB0C93">
        <w:trPr>
          <w:tblCellSpacing w:w="15" w:type="dxa"/>
        </w:trPr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0C93" w:rsidRDefault="00EB0C93">
            <w:pPr>
              <w:spacing w:before="30" w:after="60" w:line="3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EB0C93" w:rsidRDefault="00EB0C93">
            <w:pPr>
              <w:spacing w:before="30" w:after="60" w:line="3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Задание №7.</w:t>
            </w:r>
          </w:p>
          <w:p w:rsidR="00EB0C93" w:rsidRDefault="00EB0C93">
            <w:pPr>
              <w:spacing w:before="30" w:after="60" w:line="33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Санитарные нормы</w:t>
            </w:r>
          </w:p>
          <w:p w:rsidR="00EB0C93" w:rsidRDefault="00EB0C93">
            <w:pPr>
              <w:spacing w:before="30" w:after="60" w:line="33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Согласно санитарно-эпидемиологическим правилам и нормативам СанПиН 2.3.2.1078-01 в РФ «Гигиенические требования безопасности и пищевой ценности пищевых продуктов» содержание токсичных элементов в пищевых продуктах не должно превышать максимально допустимых уровней.</w:t>
            </w:r>
          </w:p>
          <w:p w:rsidR="00EB0C93" w:rsidRDefault="00EB0C93">
            <w:pPr>
              <w:spacing w:before="30" w:after="60" w:line="33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  <w:p w:rsidR="00EB0C93" w:rsidRDefault="00EB0C93">
            <w:pPr>
              <w:spacing w:before="30" w:after="60" w:line="33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Максимально допустимые уровни содержания токсичных элементов в морских водорослях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16"/>
              <w:gridCol w:w="4633"/>
            </w:tblGrid>
            <w:tr w:rsidR="00EB0C93">
              <w:trPr>
                <w:tblCellSpacing w:w="0" w:type="dxa"/>
              </w:trPr>
              <w:tc>
                <w:tcPr>
                  <w:tcW w:w="46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Токсичные элементы</w:t>
                  </w:r>
                </w:p>
              </w:tc>
              <w:tc>
                <w:tcPr>
                  <w:tcW w:w="46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Допустимые уровни, мг/кг</w:t>
                  </w:r>
                </w:p>
              </w:tc>
            </w:tr>
            <w:tr w:rsidR="00EB0C93">
              <w:trPr>
                <w:tblCellSpacing w:w="0" w:type="dxa"/>
              </w:trPr>
              <w:tc>
                <w:tcPr>
                  <w:tcW w:w="46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Свинец</w:t>
                  </w:r>
                </w:p>
              </w:tc>
              <w:tc>
                <w:tcPr>
                  <w:tcW w:w="46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0,5</w:t>
                  </w:r>
                </w:p>
              </w:tc>
            </w:tr>
            <w:tr w:rsidR="00EB0C93">
              <w:trPr>
                <w:tblCellSpacing w:w="0" w:type="dxa"/>
              </w:trPr>
              <w:tc>
                <w:tcPr>
                  <w:tcW w:w="46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Мышьяк</w:t>
                  </w:r>
                </w:p>
              </w:tc>
              <w:tc>
                <w:tcPr>
                  <w:tcW w:w="46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5,0</w:t>
                  </w:r>
                </w:p>
              </w:tc>
            </w:tr>
            <w:tr w:rsidR="00EB0C93">
              <w:trPr>
                <w:tblCellSpacing w:w="0" w:type="dxa"/>
              </w:trPr>
              <w:tc>
                <w:tcPr>
                  <w:tcW w:w="46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Кадмий</w:t>
                  </w:r>
                </w:p>
              </w:tc>
              <w:tc>
                <w:tcPr>
                  <w:tcW w:w="46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1,0</w:t>
                  </w:r>
                </w:p>
              </w:tc>
            </w:tr>
            <w:tr w:rsidR="00EB0C93">
              <w:trPr>
                <w:tblCellSpacing w:w="0" w:type="dxa"/>
              </w:trPr>
              <w:tc>
                <w:tcPr>
                  <w:tcW w:w="46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Ртуть</w:t>
                  </w:r>
                </w:p>
              </w:tc>
              <w:tc>
                <w:tcPr>
                  <w:tcW w:w="46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0,1</w:t>
                  </w:r>
                </w:p>
              </w:tc>
            </w:tr>
          </w:tbl>
          <w:p w:rsidR="00EB0C93" w:rsidRDefault="00EB0C93">
            <w:pPr>
              <w:spacing w:before="30" w:after="60" w:line="33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  <w:p w:rsidR="00EB0C93" w:rsidRDefault="00EB0C93">
            <w:pPr>
              <w:spacing w:before="30" w:after="60" w:line="33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Диапазоны концентрации токсичных элементов в бурых водорослях, мг/кг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9"/>
              <w:gridCol w:w="1941"/>
              <w:gridCol w:w="1889"/>
              <w:gridCol w:w="1873"/>
              <w:gridCol w:w="1257"/>
            </w:tblGrid>
            <w:tr w:rsidR="00EB0C93">
              <w:trPr>
                <w:tblCellSpacing w:w="0" w:type="dxa"/>
              </w:trPr>
              <w:tc>
                <w:tcPr>
                  <w:tcW w:w="18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Водоросль</w:t>
                  </w:r>
                </w:p>
              </w:tc>
              <w:tc>
                <w:tcPr>
                  <w:tcW w:w="18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Мышьяк</w:t>
                  </w:r>
                </w:p>
              </w:tc>
              <w:tc>
                <w:tcPr>
                  <w:tcW w:w="18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Кадмий</w:t>
                  </w:r>
                </w:p>
              </w:tc>
              <w:tc>
                <w:tcPr>
                  <w:tcW w:w="18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Свинец</w:t>
                  </w:r>
                </w:p>
              </w:tc>
              <w:tc>
                <w:tcPr>
                  <w:tcW w:w="18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Ртуть</w:t>
                  </w:r>
                </w:p>
              </w:tc>
            </w:tr>
            <w:tr w:rsidR="00EB0C93">
              <w:trPr>
                <w:tblCellSpacing w:w="0" w:type="dxa"/>
              </w:trPr>
              <w:tc>
                <w:tcPr>
                  <w:tcW w:w="18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Ламинария японская</w:t>
                  </w:r>
                </w:p>
              </w:tc>
              <w:tc>
                <w:tcPr>
                  <w:tcW w:w="18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line="330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1,8</w:t>
                  </w:r>
                  <w:r>
                    <w:rPr>
                      <w:rFonts w:ascii="MathJax_Main" w:eastAsia="Times New Roman" w:hAnsi="MathJax_Main" w:cs="Times New Roman"/>
                      <w:sz w:val="26"/>
                      <w:szCs w:val="26"/>
                      <w:bdr w:val="none" w:sz="0" w:space="0" w:color="auto" w:frame="1"/>
                    </w:rPr>
                    <w:t>–</w:t>
                  </w:r>
                  <w:r>
                    <w:rPr>
                      <w:rFonts w:ascii="Times New Roman" w:eastAsia="Times New Roman" w:hAnsi="Times New Roman" w:cs="Times New Roman"/>
                    </w:rPr>
                    <w:t>2,1</w:t>
                  </w:r>
                </w:p>
              </w:tc>
              <w:tc>
                <w:tcPr>
                  <w:tcW w:w="18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line="330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0,41</w:t>
                  </w:r>
                  <w:r>
                    <w:rPr>
                      <w:rFonts w:ascii="MathJax_Main" w:eastAsia="Times New Roman" w:hAnsi="MathJax_Main" w:cs="Times New Roman"/>
                      <w:sz w:val="26"/>
                      <w:szCs w:val="26"/>
                      <w:bdr w:val="none" w:sz="0" w:space="0" w:color="auto" w:frame="1"/>
                    </w:rPr>
                    <w:t>–</w:t>
                  </w:r>
                  <w:r>
                    <w:rPr>
                      <w:rFonts w:ascii="Times New Roman" w:eastAsia="Times New Roman" w:hAnsi="Times New Roman" w:cs="Times New Roman"/>
                    </w:rPr>
                    <w:t>0,47</w:t>
                  </w:r>
                </w:p>
              </w:tc>
              <w:tc>
                <w:tcPr>
                  <w:tcW w:w="18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line="330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0,25</w:t>
                  </w:r>
                  <w:r>
                    <w:rPr>
                      <w:rFonts w:ascii="MathJax_Main" w:eastAsia="Times New Roman" w:hAnsi="MathJax_Main" w:cs="Times New Roman"/>
                      <w:sz w:val="26"/>
                      <w:szCs w:val="26"/>
                      <w:bdr w:val="none" w:sz="0" w:space="0" w:color="auto" w:frame="1"/>
                    </w:rPr>
                    <w:t>–</w:t>
                  </w:r>
                  <w:r>
                    <w:rPr>
                      <w:rFonts w:ascii="Times New Roman" w:eastAsia="Times New Roman" w:hAnsi="Times New Roman" w:cs="Times New Roman"/>
                    </w:rPr>
                    <w:t>0,37</w:t>
                  </w:r>
                </w:p>
              </w:tc>
              <w:tc>
                <w:tcPr>
                  <w:tcW w:w="18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line="330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0,05</w:t>
                  </w:r>
                  <w:r>
                    <w:rPr>
                      <w:rFonts w:ascii="MathJax_Main" w:eastAsia="Times New Roman" w:hAnsi="MathJax_Main" w:cs="Times New Roman"/>
                      <w:sz w:val="26"/>
                      <w:szCs w:val="26"/>
                      <w:bdr w:val="none" w:sz="0" w:space="0" w:color="auto" w:frame="1"/>
                    </w:rPr>
                    <w:t>–</w:t>
                  </w:r>
                  <w:r>
                    <w:rPr>
                      <w:rFonts w:ascii="Times New Roman" w:eastAsia="Times New Roman" w:hAnsi="Times New Roman" w:cs="Times New Roman"/>
                    </w:rPr>
                    <w:t>0,06</w:t>
                  </w:r>
                </w:p>
              </w:tc>
            </w:tr>
            <w:tr w:rsidR="00EB0C93">
              <w:trPr>
                <w:tblCellSpacing w:w="0" w:type="dxa"/>
              </w:trPr>
              <w:tc>
                <w:tcPr>
                  <w:tcW w:w="18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Ламинария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lastRenderedPageBreak/>
                    <w:t>цикориевидная</w:t>
                  </w:r>
                  <w:proofErr w:type="spellEnd"/>
                </w:p>
              </w:tc>
              <w:tc>
                <w:tcPr>
                  <w:tcW w:w="18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line="330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lastRenderedPageBreak/>
                    <w:t>2,8</w:t>
                  </w:r>
                  <w:r>
                    <w:rPr>
                      <w:rFonts w:ascii="MathJax_Main" w:eastAsia="Times New Roman" w:hAnsi="MathJax_Main" w:cs="Times New Roman"/>
                      <w:sz w:val="26"/>
                      <w:szCs w:val="26"/>
                      <w:bdr w:val="none" w:sz="0" w:space="0" w:color="auto" w:frame="1"/>
                    </w:rPr>
                    <w:t>–</w:t>
                  </w:r>
                  <w:r>
                    <w:rPr>
                      <w:rFonts w:ascii="Times New Roman" w:eastAsia="Times New Roman" w:hAnsi="Times New Roman" w:cs="Times New Roman"/>
                    </w:rPr>
                    <w:t>3,6</w:t>
                  </w:r>
                </w:p>
              </w:tc>
              <w:tc>
                <w:tcPr>
                  <w:tcW w:w="18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line="330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0,45</w:t>
                  </w:r>
                  <w:r>
                    <w:rPr>
                      <w:rFonts w:ascii="MathJax_Main" w:eastAsia="Times New Roman" w:hAnsi="MathJax_Main" w:cs="Times New Roman"/>
                      <w:sz w:val="26"/>
                      <w:szCs w:val="26"/>
                      <w:bdr w:val="none" w:sz="0" w:space="0" w:color="auto" w:frame="1"/>
                    </w:rPr>
                    <w:t>–</w:t>
                  </w:r>
                  <w:r>
                    <w:rPr>
                      <w:rFonts w:ascii="Times New Roman" w:eastAsia="Times New Roman" w:hAnsi="Times New Roman" w:cs="Times New Roman"/>
                    </w:rPr>
                    <w:t>0,52</w:t>
                  </w:r>
                </w:p>
              </w:tc>
              <w:tc>
                <w:tcPr>
                  <w:tcW w:w="18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line="330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0,27</w:t>
                  </w:r>
                  <w:r>
                    <w:rPr>
                      <w:rFonts w:ascii="MathJax_Main" w:eastAsia="Times New Roman" w:hAnsi="MathJax_Main" w:cs="Times New Roman"/>
                      <w:sz w:val="26"/>
                      <w:szCs w:val="26"/>
                      <w:bdr w:val="none" w:sz="0" w:space="0" w:color="auto" w:frame="1"/>
                    </w:rPr>
                    <w:t>–</w:t>
                  </w:r>
                  <w:r>
                    <w:rPr>
                      <w:rFonts w:ascii="Times New Roman" w:eastAsia="Times New Roman" w:hAnsi="Times New Roman" w:cs="Times New Roman"/>
                    </w:rPr>
                    <w:t>0,31</w:t>
                  </w:r>
                </w:p>
              </w:tc>
              <w:tc>
                <w:tcPr>
                  <w:tcW w:w="18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line="330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0,05</w:t>
                  </w:r>
                  <w:r>
                    <w:rPr>
                      <w:rFonts w:ascii="MathJax_Main" w:eastAsia="Times New Roman" w:hAnsi="MathJax_Main" w:cs="Times New Roman"/>
                      <w:sz w:val="26"/>
                      <w:szCs w:val="26"/>
                      <w:bdr w:val="none" w:sz="0" w:space="0" w:color="auto" w:frame="1"/>
                    </w:rPr>
                    <w:t>–</w:t>
                  </w:r>
                  <w:r>
                    <w:rPr>
                      <w:rFonts w:ascii="Times New Roman" w:eastAsia="Times New Roman" w:hAnsi="Times New Roman" w:cs="Times New Roman"/>
                    </w:rPr>
                    <w:t>0,06</w:t>
                  </w:r>
                </w:p>
              </w:tc>
            </w:tr>
            <w:tr w:rsidR="00EB0C93">
              <w:trPr>
                <w:tblCellSpacing w:w="0" w:type="dxa"/>
              </w:trPr>
              <w:tc>
                <w:tcPr>
                  <w:tcW w:w="18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lastRenderedPageBreak/>
                    <w:t>Ламинария Гурьяновой</w:t>
                  </w:r>
                </w:p>
              </w:tc>
              <w:tc>
                <w:tcPr>
                  <w:tcW w:w="18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line="330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1,02</w:t>
                  </w:r>
                  <w:r>
                    <w:rPr>
                      <w:rFonts w:ascii="MathJax_Main" w:eastAsia="Times New Roman" w:hAnsi="MathJax_Main" w:cs="Times New Roman"/>
                      <w:sz w:val="26"/>
                      <w:szCs w:val="26"/>
                      <w:bdr w:val="none" w:sz="0" w:space="0" w:color="auto" w:frame="1"/>
                    </w:rPr>
                    <w:t>–</w:t>
                  </w:r>
                  <w:r>
                    <w:rPr>
                      <w:rFonts w:ascii="Times New Roman" w:eastAsia="Times New Roman" w:hAnsi="Times New Roman" w:cs="Times New Roman"/>
                    </w:rPr>
                    <w:t>1,13</w:t>
                  </w:r>
                </w:p>
              </w:tc>
              <w:tc>
                <w:tcPr>
                  <w:tcW w:w="18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line="330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0,15</w:t>
                  </w:r>
                  <w:r>
                    <w:rPr>
                      <w:rFonts w:ascii="MathJax_Main" w:eastAsia="Times New Roman" w:hAnsi="MathJax_Main" w:cs="Times New Roman"/>
                      <w:sz w:val="26"/>
                      <w:szCs w:val="26"/>
                      <w:bdr w:val="none" w:sz="0" w:space="0" w:color="auto" w:frame="1"/>
                    </w:rPr>
                    <w:t>–</w:t>
                  </w:r>
                  <w:r>
                    <w:rPr>
                      <w:rFonts w:ascii="Times New Roman" w:eastAsia="Times New Roman" w:hAnsi="Times New Roman" w:cs="Times New Roman"/>
                    </w:rPr>
                    <w:t>0,21</w:t>
                  </w:r>
                </w:p>
              </w:tc>
              <w:tc>
                <w:tcPr>
                  <w:tcW w:w="18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line="330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0,13</w:t>
                  </w:r>
                  <w:r>
                    <w:rPr>
                      <w:rFonts w:ascii="MathJax_Main" w:eastAsia="Times New Roman" w:hAnsi="MathJax_Main" w:cs="Times New Roman"/>
                      <w:sz w:val="26"/>
                      <w:szCs w:val="26"/>
                      <w:bdr w:val="none" w:sz="0" w:space="0" w:color="auto" w:frame="1"/>
                    </w:rPr>
                    <w:t>–</w:t>
                  </w:r>
                  <w:r>
                    <w:rPr>
                      <w:rFonts w:ascii="Times New Roman" w:eastAsia="Times New Roman" w:hAnsi="Times New Roman" w:cs="Times New Roman"/>
                    </w:rPr>
                    <w:t>0,17</w:t>
                  </w:r>
                </w:p>
              </w:tc>
              <w:tc>
                <w:tcPr>
                  <w:tcW w:w="18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line="330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0,03</w:t>
                  </w:r>
                  <w:r>
                    <w:rPr>
                      <w:rFonts w:ascii="MathJax_Main" w:eastAsia="Times New Roman" w:hAnsi="MathJax_Main" w:cs="Times New Roman"/>
                      <w:sz w:val="26"/>
                      <w:szCs w:val="26"/>
                      <w:bdr w:val="none" w:sz="0" w:space="0" w:color="auto" w:frame="1"/>
                    </w:rPr>
                    <w:t>–</w:t>
                  </w:r>
                  <w:r>
                    <w:rPr>
                      <w:rFonts w:ascii="Times New Roman" w:eastAsia="Times New Roman" w:hAnsi="Times New Roman" w:cs="Times New Roman"/>
                    </w:rPr>
                    <w:t>0,04</w:t>
                  </w:r>
                </w:p>
              </w:tc>
            </w:tr>
            <w:tr w:rsidR="00EB0C93">
              <w:trPr>
                <w:tblCellSpacing w:w="0" w:type="dxa"/>
              </w:trPr>
              <w:tc>
                <w:tcPr>
                  <w:tcW w:w="18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Ламинария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йезоенская</w:t>
                  </w:r>
                  <w:proofErr w:type="spellEnd"/>
                </w:p>
              </w:tc>
              <w:tc>
                <w:tcPr>
                  <w:tcW w:w="18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line="330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2,23</w:t>
                  </w:r>
                  <w:r>
                    <w:rPr>
                      <w:rFonts w:ascii="MathJax_Main" w:eastAsia="Times New Roman" w:hAnsi="MathJax_Main" w:cs="Times New Roman"/>
                      <w:sz w:val="26"/>
                      <w:szCs w:val="26"/>
                      <w:bdr w:val="none" w:sz="0" w:space="0" w:color="auto" w:frame="1"/>
                    </w:rPr>
                    <w:t>–</w:t>
                  </w:r>
                  <w:r>
                    <w:rPr>
                      <w:rFonts w:ascii="Times New Roman" w:eastAsia="Times New Roman" w:hAnsi="Times New Roman" w:cs="Times New Roman"/>
                    </w:rPr>
                    <w:t>2,57</w:t>
                  </w:r>
                </w:p>
              </w:tc>
              <w:tc>
                <w:tcPr>
                  <w:tcW w:w="18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до 0,25</w:t>
                  </w:r>
                </w:p>
              </w:tc>
              <w:tc>
                <w:tcPr>
                  <w:tcW w:w="18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до 0,49</w:t>
                  </w:r>
                </w:p>
              </w:tc>
              <w:tc>
                <w:tcPr>
                  <w:tcW w:w="18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0C93" w:rsidRDefault="00EB0C93">
                  <w:pPr>
                    <w:spacing w:line="330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0,047</w:t>
                  </w:r>
                  <w:r>
                    <w:rPr>
                      <w:rFonts w:ascii="MathJax_Main" w:eastAsia="Times New Roman" w:hAnsi="MathJax_Main" w:cs="Times New Roman"/>
                      <w:sz w:val="26"/>
                      <w:szCs w:val="26"/>
                      <w:bdr w:val="none" w:sz="0" w:space="0" w:color="auto" w:frame="1"/>
                    </w:rPr>
                    <w:t>–</w:t>
                  </w:r>
                  <w:r>
                    <w:rPr>
                      <w:rFonts w:ascii="Times New Roman" w:eastAsia="Times New Roman" w:hAnsi="Times New Roman" w:cs="Times New Roman"/>
                    </w:rPr>
                    <w:t>0,054</w:t>
                  </w:r>
                </w:p>
              </w:tc>
            </w:tr>
            <w:tr w:rsidR="00EB0C93">
              <w:trPr>
                <w:gridAfter w:val="1"/>
                <w:wAfter w:w="151" w:type="dxa"/>
                <w:tblCellSpacing w:w="0" w:type="dxa"/>
              </w:trPr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B0C93" w:rsidRDefault="00EB0C93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Можно ли использовать различные виды ламинарии в качестве сырья для пищевой промышленности? Ответ поясните.</w:t>
                  </w:r>
                </w:p>
              </w:tc>
            </w:tr>
          </w:tbl>
          <w:p w:rsidR="00EB0C93" w:rsidRDefault="00EB0C93"/>
        </w:tc>
      </w:tr>
    </w:tbl>
    <w:p w:rsidR="00EB0C93" w:rsidRDefault="00EB0C93" w:rsidP="00EB0C93">
      <w:pPr>
        <w:spacing w:line="360" w:lineRule="auto"/>
        <w:rPr>
          <w:rFonts w:ascii="Times New Roman" w:eastAsia="Times New Roman" w:hAnsi="Times New Roman" w:cs="Times New Roman"/>
        </w:rPr>
      </w:pPr>
      <w:proofErr w:type="gramStart"/>
      <w:r>
        <w:rPr>
          <w:rFonts w:ascii="Arial" w:eastAsia="Times New Roman" w:hAnsi="Arial" w:cs="Arial"/>
          <w:u w:val="single"/>
        </w:rPr>
        <w:lastRenderedPageBreak/>
        <w:t>Ответ:_</w:t>
      </w:r>
      <w:proofErr w:type="gramEnd"/>
      <w:r>
        <w:rPr>
          <w:rFonts w:ascii="Arial" w:eastAsia="Times New Roman" w:hAnsi="Arial" w:cs="Arial"/>
          <w:sz w:val="28"/>
          <w:szCs w:val="2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355"/>
      </w:tblGrid>
      <w:tr w:rsidR="00EB0C93" w:rsidTr="00EB0C93">
        <w:trPr>
          <w:tblCellSpacing w:w="15" w:type="dxa"/>
        </w:trPr>
        <w:tc>
          <w:tcPr>
            <w:tcW w:w="496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0C93" w:rsidRDefault="00EB0C93">
            <w:pPr>
              <w:spacing w:before="30" w:after="6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Задание №8.</w:t>
            </w:r>
          </w:p>
          <w:p w:rsidR="00EB0C93" w:rsidRDefault="00EB0C93">
            <w:pPr>
              <w:spacing w:before="30" w:after="60" w:line="33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Какой из представленных видов водорослей наиболее безопасен для употребления в пищу?</w:t>
            </w:r>
          </w:p>
        </w:tc>
      </w:tr>
      <w:tr w:rsidR="00EB0C93" w:rsidTr="00EB0C93">
        <w:trPr>
          <w:tblCellSpacing w:w="15" w:type="dxa"/>
        </w:trPr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0C93" w:rsidRDefault="00EB0C9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Arial" w:eastAsia="Times New Roman" w:hAnsi="Arial" w:cs="Arial"/>
                <w:u w:val="single"/>
              </w:rPr>
              <w:t>Ответ:_</w:t>
            </w:r>
            <w:proofErr w:type="gramEnd"/>
            <w:r>
              <w:rPr>
                <w:rFonts w:ascii="Arial" w:eastAsia="Times New Roman" w:hAnsi="Arial" w:cs="Arial"/>
                <w:sz w:val="28"/>
                <w:szCs w:val="28"/>
                <w:u w:val="single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EB0C93" w:rsidRDefault="00EB0C93">
            <w:pPr>
              <w:spacing w:before="30" w:after="60" w:line="3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Задание №9.</w:t>
            </w:r>
          </w:p>
          <w:p w:rsidR="00EB0C93" w:rsidRDefault="00EB0C93">
            <w:pPr>
              <w:spacing w:before="30" w:after="60" w:line="33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Произрастание ламинарии</w:t>
            </w:r>
          </w:p>
          <w:p w:rsidR="00EB0C93" w:rsidRDefault="00EB0C93">
            <w:pPr>
              <w:spacing w:before="30" w:after="60" w:line="33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Ламинарии образуют в местах с постоянным течением густые заросли, которые получили название «водорослевые леса». Такое скученное произрастание позволяет легко добывать их в промышленных масштабах. Эти водоросли любят холодную, богатую кислородом воду.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65"/>
            </w:tblGrid>
            <w:tr w:rsidR="00EB0C9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EB0C93" w:rsidRDefault="00EB0C93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lang w:bidi="ar-SA"/>
                    </w:rPr>
                    <w:drawing>
                      <wp:inline distT="0" distB="0" distL="0" distR="0">
                        <wp:extent cx="4714875" cy="2047875"/>
                        <wp:effectExtent l="0" t="0" r="9525" b="9525"/>
                        <wp:docPr id="2" name="Рисунок 2" descr="http://oge.fipi.ru/os/docs/0CD62708049A9FB940BFBB6E0A09ECC8/docs/573296E4A09F8B1042620A1842D1430E/xs3docsrc573296E4A09F8B1042620A1842D1430E_1_160405602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3" descr="http://oge.fipi.ru/os/docs/0CD62708049A9FB940BFBB6E0A09ECC8/docs/573296E4A09F8B1042620A1842D1430E/xs3docsrc573296E4A09F8B1042620A1842D1430E_1_160405602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14875" cy="2047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B0C93">
              <w:trPr>
                <w:tblCellSpacing w:w="0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B0C93" w:rsidRDefault="00EB0C93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 На каком расстоянии от берега и на какой глубине растёт ламинария (лат.: 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Laminaria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</w:rPr>
                    <w:t xml:space="preserve">)? </w:t>
                  </w:r>
                  <w:r>
                    <w:rPr>
                      <w:rFonts w:ascii="Times New Roman" w:eastAsia="Times New Roman" w:hAnsi="Times New Roman" w:cs="Times New Roman"/>
                    </w:rPr>
                    <w:lastRenderedPageBreak/>
                    <w:t>Укажите диапазоны в метрах.</w:t>
                  </w:r>
                </w:p>
                <w:p w:rsidR="00EB0C93" w:rsidRDefault="00EB0C93" w:rsidP="0093134C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Arial" w:eastAsia="Times New Roman" w:hAnsi="Arial" w:cs="Arial"/>
                      <w:u w:val="single"/>
                    </w:rPr>
                    <w:t>Ответ:_</w:t>
                  </w:r>
                  <w:r>
                    <w:rPr>
                      <w:rFonts w:ascii="Arial" w:eastAsia="Times New Roman" w:hAnsi="Arial" w:cs="Arial"/>
                      <w:sz w:val="28"/>
                      <w:szCs w:val="28"/>
                      <w:u w:val="single"/>
                    </w:rPr>
                    <w:t>___________________________________________________________________________________________________________________________________________________________________________</w:t>
                  </w:r>
                </w:p>
              </w:tc>
            </w:tr>
          </w:tbl>
          <w:p w:rsidR="00EB0C93" w:rsidRDefault="00EB0C9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EB0C93" w:rsidRDefault="00EB0C93" w:rsidP="00EB0C93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355"/>
      </w:tblGrid>
      <w:tr w:rsidR="00EB0C93" w:rsidTr="00EB0C93">
        <w:trPr>
          <w:tblCellSpacing w:w="15" w:type="dxa"/>
        </w:trPr>
        <w:tc>
          <w:tcPr>
            <w:tcW w:w="496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134C" w:rsidRDefault="0093134C">
            <w:pPr>
              <w:spacing w:before="30" w:after="60" w:line="3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93134C" w:rsidRDefault="0093134C">
            <w:pPr>
              <w:spacing w:before="30" w:after="60" w:line="3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EB0C93" w:rsidRDefault="00EB0C93">
            <w:pPr>
              <w:spacing w:before="30" w:after="60" w:line="33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Задание №</w:t>
            </w:r>
            <w:r>
              <w:rPr>
                <w:rFonts w:ascii="Times New Roman" w:eastAsia="Times New Roman" w:hAnsi="Times New Roman" w:cs="Times New Roman"/>
                <w:b/>
              </w:rPr>
              <w:t>10.</w:t>
            </w:r>
          </w:p>
          <w:p w:rsidR="00EB0C93" w:rsidRDefault="00EB0C93">
            <w:pPr>
              <w:spacing w:before="30" w:after="60" w:line="33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Какие способы добычи ламинарии эффективны?</w:t>
            </w:r>
            <w:r w:rsidR="0093134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Выберите «да» или «нет» для каждого способа добычи.</w:t>
            </w:r>
          </w:p>
          <w:tbl>
            <w:tblPr>
              <w:tblW w:w="9169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85"/>
              <w:gridCol w:w="992"/>
              <w:gridCol w:w="992"/>
            </w:tblGrid>
            <w:tr w:rsidR="00EB0C93" w:rsidTr="0093134C">
              <w:trPr>
                <w:gridAfter w:val="2"/>
                <w:wAfter w:w="1984" w:type="dxa"/>
                <w:tblCellSpacing w:w="0" w:type="dxa"/>
              </w:trPr>
              <w:tc>
                <w:tcPr>
                  <w:tcW w:w="7185" w:type="dxa"/>
                  <w:hideMark/>
                </w:tcPr>
                <w:p w:rsidR="00EB0C93" w:rsidRDefault="00EB0C93">
                  <w:pPr>
                    <w:spacing w:before="30" w:after="60" w:line="330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lang w:bidi="ar-SA"/>
                    </w:rPr>
                    <w:drawing>
                      <wp:inline distT="0" distB="0" distL="0" distR="0">
                        <wp:extent cx="2095500" cy="1181100"/>
                        <wp:effectExtent l="0" t="0" r="0" b="0"/>
                        <wp:docPr id="1" name="Рисунок 1" descr="undefin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1" descr="undefin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500" cy="1181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B0C93" w:rsidTr="0093134C">
              <w:trPr>
                <w:tblCellSpacing w:w="0" w:type="dxa"/>
              </w:trPr>
              <w:tc>
                <w:tcPr>
                  <w:tcW w:w="71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Способ добычи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Да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Нет</w:t>
                  </w:r>
                </w:p>
              </w:tc>
            </w:tr>
            <w:tr w:rsidR="00EB0C93" w:rsidTr="0093134C">
              <w:trPr>
                <w:tblCellSpacing w:w="0" w:type="dxa"/>
              </w:trPr>
              <w:tc>
                <w:tcPr>
                  <w:tcW w:w="71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Использование ловчих сетей и тралов в открытом море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0C93" w:rsidRDefault="00EB0C9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0C93" w:rsidRDefault="00EB0C9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B0C93" w:rsidTr="0093134C">
              <w:trPr>
                <w:tblCellSpacing w:w="0" w:type="dxa"/>
              </w:trPr>
              <w:tc>
                <w:tcPr>
                  <w:tcW w:w="71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0C93" w:rsidRDefault="00EB0C93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Срезание водорослей вместе с прибрежным грунтом в 50 м от берега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0C93" w:rsidRDefault="00EB0C9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0C93" w:rsidRDefault="00EB0C9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B0C93" w:rsidTr="0093134C">
              <w:trPr>
                <w:tblCellSpacing w:w="0" w:type="dxa"/>
              </w:trPr>
              <w:tc>
                <w:tcPr>
                  <w:tcW w:w="71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0C93" w:rsidRDefault="00EB0C93">
                  <w:pPr>
                    <w:spacing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Использование на глубине более 5 м пучков прутьев 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канзы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</w:rPr>
                    <w:t>), на которые наматываются слоевища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0C93" w:rsidRDefault="00EB0C9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0C93" w:rsidRDefault="00EB0C9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B0C93" w:rsidTr="0093134C">
              <w:trPr>
                <w:tblCellSpacing w:w="0" w:type="dxa"/>
              </w:trPr>
              <w:tc>
                <w:tcPr>
                  <w:tcW w:w="71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0C93" w:rsidRDefault="00EB0C93">
                  <w:pPr>
                    <w:spacing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Погружение водолазов и ручное кошение слоевищ в мелководной зоне шельфа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0C93" w:rsidRDefault="00EB0C9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0C93" w:rsidRDefault="00EB0C93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EB0C93" w:rsidRDefault="00EB0C93">
            <w:pPr>
              <w:spacing w:before="30" w:after="60" w:line="33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684D17" w:rsidRDefault="00684D17"/>
    <w:sectPr w:rsidR="00684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thJax_Mai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C11"/>
    <w:rsid w:val="00684D17"/>
    <w:rsid w:val="0093134C"/>
    <w:rsid w:val="00D47C11"/>
    <w:rsid w:val="00EB0C93"/>
    <w:rsid w:val="00FB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BFA2C"/>
  <w15:chartTrackingRefBased/>
  <w15:docId w15:val="{20C5C87A-BE45-45E3-A1C7-4D4B2028F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C9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7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1057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2022-11-10T05:33:00Z</dcterms:created>
  <dcterms:modified xsi:type="dcterms:W3CDTF">2022-11-10T05:41:00Z</dcterms:modified>
</cp:coreProperties>
</file>